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lang w:eastAsia="zh-CN"/>
        </w:rPr>
      </w:pPr>
      <w:r>
        <w:rPr>
          <w:rFonts w:hint="eastAsia"/>
          <w:b/>
          <w:bCs/>
          <w:lang w:eastAsia="zh-CN"/>
        </w:rPr>
        <w:t>产生</w:t>
      </w:r>
      <w:r>
        <w:rPr>
          <w:rFonts w:hint="eastAsia"/>
          <w:b/>
          <w:bCs/>
        </w:rPr>
        <w:t>单位危险废物防治信息公开-</w:t>
      </w:r>
      <w:r>
        <w:rPr>
          <w:rFonts w:hint="eastAsia"/>
          <w:b/>
          <w:bCs/>
          <w:lang w:eastAsia="zh-CN"/>
        </w:rPr>
        <w:t>上虞新和成生物化工有限公司</w:t>
      </w:r>
    </w:p>
    <w:p>
      <w:pPr>
        <w:ind w:firstLine="420" w:firstLineChars="200"/>
        <w:rPr>
          <w:rFonts w:hint="eastAsia" w:eastAsiaTheme="minorEastAsia"/>
          <w:lang w:eastAsia="zh-CN"/>
        </w:rPr>
      </w:pPr>
      <w:r>
        <w:rPr>
          <w:rFonts w:hint="eastAsia"/>
        </w:rPr>
        <w:t>依据《中华人民共和国固体废物污染环境防治法》第二十九条规定:产生、收集、贮存、运输、利用、处置固体废物的单位，应当依法及时公开固体废物污染环境防治信息，主动接受社会监督。结合我公司实际情况，现将</w:t>
      </w:r>
      <w:r>
        <w:rPr>
          <w:rFonts w:hint="eastAsia"/>
          <w:lang w:val="en-US" w:eastAsia="zh-CN"/>
        </w:rPr>
        <w:t>2024年半年度（1月1日-7月8日）</w:t>
      </w:r>
      <w:r>
        <w:rPr>
          <w:rFonts w:hint="eastAsia"/>
        </w:rPr>
        <w:t>危险废物污染环境防治信息公开如下</w:t>
      </w:r>
      <w:r>
        <w:rPr>
          <w:rFonts w:hint="eastAsia"/>
          <w:lang w:eastAsia="zh-CN"/>
        </w:rPr>
        <w:t>：</w:t>
      </w:r>
    </w:p>
    <w:p>
      <w:pPr>
        <w:rPr>
          <w:rFonts w:hint="eastAsia"/>
        </w:rPr>
      </w:pPr>
      <w:r>
        <w:rPr>
          <w:rFonts w:hint="eastAsia"/>
        </w:rPr>
        <w:t>1、危险废物</w:t>
      </w:r>
      <w:r>
        <w:rPr>
          <w:rFonts w:hint="eastAsia"/>
          <w:lang w:eastAsia="zh-CN"/>
        </w:rPr>
        <w:t>产生</w:t>
      </w:r>
      <w:r>
        <w:rPr>
          <w:rFonts w:hint="eastAsia"/>
        </w:rPr>
        <w:t>单位信息公开</w:t>
      </w:r>
    </w:p>
    <w:p>
      <w:pPr>
        <w:rPr>
          <w:rFonts w:hint="eastAsia"/>
        </w:rPr>
      </w:pPr>
      <w:r>
        <w:rPr>
          <w:rFonts w:hint="eastAsia"/>
        </w:rPr>
        <w:t>企业名称:</w:t>
      </w:r>
      <w:r>
        <w:rPr>
          <w:rFonts w:hint="eastAsia"/>
          <w:lang w:val="en-US" w:eastAsia="zh-CN"/>
        </w:rPr>
        <w:t xml:space="preserve"> </w:t>
      </w:r>
      <w:r>
        <w:rPr>
          <w:rFonts w:hint="eastAsia"/>
          <w:lang w:eastAsia="zh-CN"/>
        </w:rPr>
        <w:t>上虞新和成生物化工有限公司</w:t>
      </w:r>
    </w:p>
    <w:p>
      <w:pPr>
        <w:rPr>
          <w:rFonts w:hint="default" w:eastAsiaTheme="minorEastAsia"/>
          <w:lang w:val="en-US" w:eastAsia="zh-CN"/>
        </w:rPr>
      </w:pPr>
      <w:r>
        <w:rPr>
          <w:rFonts w:hint="eastAsia"/>
        </w:rPr>
        <w:t xml:space="preserve">地 址: </w:t>
      </w:r>
      <w:r>
        <w:rPr>
          <w:rFonts w:hint="eastAsia"/>
          <w:lang w:eastAsia="zh-CN"/>
        </w:rPr>
        <w:t>绍兴市杭州湾上虞经济技术开发区纬五路</w:t>
      </w:r>
      <w:r>
        <w:rPr>
          <w:rFonts w:hint="eastAsia"/>
          <w:lang w:val="en-US" w:eastAsia="zh-CN"/>
        </w:rPr>
        <w:t>32号</w:t>
      </w:r>
    </w:p>
    <w:p>
      <w:pPr>
        <w:rPr>
          <w:rFonts w:hint="eastAsia"/>
        </w:rPr>
      </w:pPr>
      <w:r>
        <w:rPr>
          <w:rFonts w:hint="eastAsia"/>
        </w:rPr>
        <w:t xml:space="preserve">环保负责人及电话: </w:t>
      </w:r>
      <w:r>
        <w:rPr>
          <w:rFonts w:hint="eastAsia"/>
          <w:lang w:eastAsia="zh-CN"/>
        </w:rPr>
        <w:t>任兴荣</w:t>
      </w:r>
      <w:r>
        <w:rPr>
          <w:rFonts w:hint="eastAsia"/>
        </w:rPr>
        <w:t xml:space="preserve"> 15068506252</w:t>
      </w:r>
    </w:p>
    <w:p>
      <w:pPr>
        <w:rPr>
          <w:rFonts w:hint="eastAsia"/>
        </w:rPr>
      </w:pPr>
      <w:r>
        <w:rPr>
          <w:rFonts w:hint="eastAsia"/>
        </w:rPr>
        <w:t>危险废物贮存设施数量: 危险废物暂存库</w:t>
      </w:r>
    </w:p>
    <w:p>
      <w:pPr>
        <w:rPr>
          <w:rFonts w:hint="eastAsia"/>
        </w:rPr>
      </w:pPr>
      <w:r>
        <w:rPr>
          <w:rFonts w:hint="eastAsia"/>
        </w:rPr>
        <w:t xml:space="preserve">危险废物贮存设施贮存能力: </w:t>
      </w:r>
      <w:r>
        <w:rPr>
          <w:rFonts w:hint="eastAsia"/>
          <w:lang w:val="en-US" w:eastAsia="zh-CN"/>
        </w:rPr>
        <w:t>778</w:t>
      </w:r>
      <w:r>
        <w:rPr>
          <w:rFonts w:hint="eastAsia"/>
        </w:rPr>
        <w:t>吨</w:t>
      </w:r>
    </w:p>
    <w:p>
      <w:pPr>
        <w:numPr>
          <w:ilvl w:val="0"/>
          <w:numId w:val="1"/>
        </w:numPr>
        <w:rPr>
          <w:rFonts w:hint="eastAsia"/>
        </w:rPr>
      </w:pPr>
      <w:r>
        <w:rPr>
          <w:rFonts w:hint="eastAsia"/>
        </w:rPr>
        <w:t>自身产生危险废物去向: 委托有资质公司对本单位产生的危险废物进行处置，所有危险废物按照环保要求容器完好，做好防渗漏措施，贴好危废信息标签贴，转移按要求填写转移联单。</w:t>
      </w:r>
    </w:p>
    <w:p>
      <w:pPr>
        <w:numPr>
          <w:ilvl w:val="0"/>
          <w:numId w:val="1"/>
        </w:numPr>
        <w:rPr>
          <w:rFonts w:hint="eastAsia"/>
        </w:rPr>
      </w:pPr>
      <w:r>
        <w:rPr>
          <w:rFonts w:hint="eastAsia"/>
          <w:lang w:eastAsia="zh-CN"/>
        </w:rPr>
        <w:t>①暂存</w:t>
      </w:r>
      <w:r>
        <w:rPr>
          <w:rFonts w:hint="eastAsia"/>
        </w:rPr>
        <w:t>方式:</w:t>
      </w:r>
      <w:r>
        <w:rPr>
          <w:rFonts w:hint="eastAsia"/>
          <w:lang w:val="en-US" w:eastAsia="zh-CN"/>
        </w:rPr>
        <w:t xml:space="preserve"> </w:t>
      </w:r>
      <w:r>
        <w:rPr>
          <w:rFonts w:hint="eastAsia"/>
        </w:rPr>
        <w:t>危险废物收集至危险废物暂存库内，库内采用机械通风，维持微负压，换气次数为5-7次/h，采用活性炭吸附工艺处理危险废物暂存库产生的恶臭及挥发性有机物，设计吸收率均为90%以上，处理后的废气分别经过1根15m高排气筒排放。</w:t>
      </w:r>
    </w:p>
    <w:p>
      <w:pPr>
        <w:rPr>
          <w:rFonts w:hint="eastAsia"/>
        </w:rPr>
      </w:pPr>
      <w:r>
        <w:rPr>
          <w:rFonts w:hint="eastAsia"/>
          <w:lang w:eastAsia="zh-CN"/>
        </w:rPr>
        <w:t>废物</w:t>
      </w:r>
      <w:r>
        <w:rPr>
          <w:rFonts w:hint="eastAsia"/>
        </w:rPr>
        <w:t>信息详见附件1</w:t>
      </w:r>
    </w:p>
    <w:p>
      <w:pPr>
        <w:rPr>
          <w:rFonts w:hint="eastAsia"/>
          <w:lang w:val="en-US" w:eastAsia="zh-CN"/>
        </w:rPr>
      </w:pPr>
      <w:r>
        <w:rPr>
          <w:rFonts w:hint="eastAsia"/>
          <w:lang w:eastAsia="zh-CN"/>
        </w:rPr>
        <w:t>附件</w:t>
      </w:r>
      <w:r>
        <w:rPr>
          <w:rFonts w:hint="eastAsia"/>
          <w:lang w:val="en-US" w:eastAsia="zh-CN"/>
        </w:rPr>
        <w:t>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321"/>
        <w:gridCol w:w="1653"/>
        <w:gridCol w:w="1757"/>
        <w:gridCol w:w="1757"/>
        <w:gridCol w:w="175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77" w:type="dxa"/>
            <w:vAlign w:val="center"/>
          </w:tcPr>
          <w:p>
            <w:pPr>
              <w:jc w:val="center"/>
              <w:rPr>
                <w:rFonts w:hint="eastAsia"/>
                <w:sz w:val="15"/>
                <w:szCs w:val="18"/>
                <w:vertAlign w:val="baseline"/>
                <w:lang w:val="en-US" w:eastAsia="zh-CN"/>
              </w:rPr>
            </w:pPr>
            <w:r>
              <w:rPr>
                <w:rFonts w:hint="eastAsia"/>
                <w:sz w:val="15"/>
                <w:szCs w:val="18"/>
              </w:rPr>
              <w:t>企业名称</w:t>
            </w:r>
          </w:p>
        </w:tc>
        <w:tc>
          <w:tcPr>
            <w:tcW w:w="1321" w:type="dxa"/>
            <w:vAlign w:val="center"/>
          </w:tcPr>
          <w:p>
            <w:pPr>
              <w:jc w:val="center"/>
              <w:rPr>
                <w:rFonts w:hint="eastAsia"/>
                <w:sz w:val="15"/>
                <w:szCs w:val="18"/>
                <w:vertAlign w:val="baseline"/>
                <w:lang w:val="en-US" w:eastAsia="zh-CN"/>
              </w:rPr>
            </w:pPr>
            <w:r>
              <w:rPr>
                <w:rFonts w:hint="eastAsia"/>
                <w:sz w:val="15"/>
                <w:szCs w:val="18"/>
                <w:lang w:eastAsia="zh-CN"/>
              </w:rPr>
              <w:t>产生危废</w:t>
            </w:r>
            <w:r>
              <w:rPr>
                <w:rFonts w:hint="eastAsia"/>
                <w:sz w:val="15"/>
                <w:szCs w:val="18"/>
              </w:rPr>
              <w:t>种类</w:t>
            </w:r>
          </w:p>
        </w:tc>
        <w:tc>
          <w:tcPr>
            <w:tcW w:w="165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危险废物产生量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上年底库存量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危险废物委外处置量(吨)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危险废物自行处置量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restart"/>
            <w:vAlign w:val="center"/>
          </w:tcPr>
          <w:p>
            <w:pPr>
              <w:jc w:val="center"/>
              <w:rPr>
                <w:rFonts w:hint="default"/>
                <w:sz w:val="15"/>
                <w:szCs w:val="18"/>
                <w:vertAlign w:val="baseline"/>
                <w:lang w:val="en-US" w:eastAsia="zh-CN"/>
              </w:rPr>
            </w:pPr>
            <w:r>
              <w:rPr>
                <w:rFonts w:hint="eastAsia"/>
                <w:sz w:val="15"/>
                <w:szCs w:val="18"/>
                <w:vertAlign w:val="baseline"/>
                <w:lang w:val="en-US" w:eastAsia="zh-CN"/>
              </w:rPr>
              <w:t>上虞新和成生物化工有限公司</w:t>
            </w:r>
          </w:p>
        </w:tc>
        <w:tc>
          <w:tcPr>
            <w:tcW w:w="1321" w:type="dxa"/>
            <w:vAlign w:val="center"/>
          </w:tcPr>
          <w:p>
            <w:pPr>
              <w:jc w:val="center"/>
              <w:rPr>
                <w:rFonts w:hint="eastAsia"/>
                <w:sz w:val="15"/>
                <w:szCs w:val="18"/>
                <w:lang w:eastAsia="zh-CN"/>
              </w:rPr>
            </w:pPr>
            <w:r>
              <w:rPr>
                <w:rFonts w:hint="eastAsia"/>
                <w:sz w:val="15"/>
                <w:szCs w:val="18"/>
                <w:vertAlign w:val="baseline"/>
                <w:lang w:val="en-US" w:eastAsia="zh-CN"/>
              </w:rPr>
              <w:t>HW02医药废物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11.982</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11.982</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HW06废有机溶剂与含有机溶剂废物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HW08废矿物油与含矿物油废物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11.685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11.685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HW11精 (蒸) 馏残渣</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5006.5575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2.4</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5000.2735</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8.684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HW13有机树脂类废物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HW36 废石棉保温材料</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4.195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4.195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HW49 其他危废</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399.6542</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21.67</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417.0422</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bookmarkStart w:id="0" w:name="_GoBack"/>
            <w:bookmarkEnd w:id="0"/>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default"/>
                <w:sz w:val="15"/>
                <w:szCs w:val="18"/>
                <w:vertAlign w:val="baseline"/>
                <w:lang w:val="en-US" w:eastAsia="zh-CN"/>
              </w:rPr>
            </w:pPr>
            <w:r>
              <w:rPr>
                <w:rFonts w:hint="default"/>
                <w:sz w:val="15"/>
                <w:szCs w:val="18"/>
                <w:vertAlign w:val="baseline"/>
                <w:lang w:val="en-US" w:eastAsia="zh-CN"/>
              </w:rPr>
              <w:t>HW50 废催化剂</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4.727</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3.92</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0.807</w:t>
            </w:r>
          </w:p>
        </w:tc>
      </w:tr>
    </w:tbl>
    <w:p>
      <w:pPr>
        <w:jc w:val="center"/>
        <w:rPr>
          <w:rFonts w:hint="eastAsia"/>
          <w:sz w:val="15"/>
          <w:szCs w:val="18"/>
          <w:vertAlign w:val="baseli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A9D2B"/>
    <w:multiLevelType w:val="singleLevel"/>
    <w:tmpl w:val="555A9D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DRlMWEzYmJkMjY5ZWNkMTFkZjMxMzY4ZDQzNTMifQ=="/>
  </w:docVars>
  <w:rsids>
    <w:rsidRoot w:val="00000000"/>
    <w:rsid w:val="00525507"/>
    <w:rsid w:val="01FB5F82"/>
    <w:rsid w:val="0A296DA8"/>
    <w:rsid w:val="253C0A2C"/>
    <w:rsid w:val="29F808FB"/>
    <w:rsid w:val="46762D44"/>
    <w:rsid w:val="5FC60B9B"/>
    <w:rsid w:val="6EF24D21"/>
    <w:rsid w:val="7C4E7358"/>
    <w:rsid w:val="7EC6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624</Words>
  <Characters>765</Characters>
  <Lines>0</Lines>
  <Paragraphs>0</Paragraphs>
  <TotalTime>3</TotalTime>
  <ScaleCrop>false</ScaleCrop>
  <LinksUpToDate>false</LinksUpToDate>
  <CharactersWithSpaces>779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2023-11-15T10:33:00Z</dcterms:created>
  <dc:creator>ZYX</dc:creator>
  <cp:lastModifiedBy>忘词</cp:lastModifiedBy>
  <dcterms:modified xsi:type="dcterms:W3CDTF">2024-07-08T06:36:05Z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B0D0E46B906840128EB4C6DDE3C7130C_12</vt:lpwstr>
  </property>
</Properties>
</file>